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195BB" w14:textId="33A7BC14" w:rsidR="003D35DD" w:rsidRPr="003D35DD" w:rsidRDefault="003D35DD" w:rsidP="003D35DD">
      <w:pPr>
        <w:jc w:val="center"/>
        <w:rPr>
          <w:rFonts w:ascii="Verdana" w:hAnsi="Verdana"/>
          <w:b/>
          <w:bCs/>
        </w:rPr>
      </w:pPr>
      <w:r w:rsidRPr="003D35DD">
        <w:rPr>
          <w:rFonts w:ascii="Verdana" w:hAnsi="Verdana"/>
          <w:b/>
          <w:bCs/>
        </w:rPr>
        <w:t>FORMULARIO V</w:t>
      </w:r>
    </w:p>
    <w:p w14:paraId="2906FA84" w14:textId="50F2F9D6" w:rsidR="003C11B0" w:rsidRPr="003D35DD" w:rsidRDefault="003D35DD" w:rsidP="003D35DD">
      <w:pPr>
        <w:jc w:val="center"/>
        <w:rPr>
          <w:rFonts w:ascii="Verdana" w:hAnsi="Verdana"/>
          <w:b/>
          <w:bCs/>
        </w:rPr>
      </w:pPr>
      <w:r w:rsidRPr="003D35DD">
        <w:rPr>
          <w:rFonts w:ascii="Verdana" w:hAnsi="Verdana"/>
          <w:b/>
          <w:bCs/>
        </w:rPr>
        <w:t>RATIOS DE LOS ESTADOS CONTABLES</w:t>
      </w:r>
    </w:p>
    <w:p w14:paraId="76BF1882" w14:textId="1C2A08A9" w:rsidR="00081613" w:rsidRDefault="00081613" w:rsidP="00081613">
      <w:pPr>
        <w:jc w:val="both"/>
        <w:rPr>
          <w:rFonts w:ascii="Verdana" w:hAnsi="Verdana"/>
        </w:rPr>
      </w:pPr>
      <w:r w:rsidRPr="26966419">
        <w:rPr>
          <w:rFonts w:ascii="Verdana" w:hAnsi="Verdana"/>
        </w:rPr>
        <w:t xml:space="preserve">LLAMADO No. </w:t>
      </w:r>
      <w:r w:rsidR="2C84E272" w:rsidRPr="26966419">
        <w:rPr>
          <w:rFonts w:ascii="Verdana" w:hAnsi="Verdana"/>
        </w:rPr>
        <w:t>3</w:t>
      </w:r>
      <w:r w:rsidRPr="26966419">
        <w:rPr>
          <w:rFonts w:ascii="Verdana" w:hAnsi="Verdana"/>
        </w:rPr>
        <w:t xml:space="preserve"> – AÑO 2025 LICITACIÓN PÚBLICA INTERNACIONAL PARA LA EXPLOTACIÓN DEL SERVICIO DE TRANSPORTE PÚBLICO METROPOLITANO DE PASAJEROS EN DISTINTOS ITINERARIOS (LÍNEAS E1, E2 Y E3), CON FLOTA DE BUSES ELÉCTRICOS DEL ESTADO</w:t>
      </w:r>
    </w:p>
    <w:p w14:paraId="1467775D" w14:textId="1C1C1C0E" w:rsidR="003D35DD" w:rsidRPr="003D35DD" w:rsidRDefault="003D35DD" w:rsidP="003D35DD">
      <w:pPr>
        <w:rPr>
          <w:rFonts w:ascii="Verdana" w:hAnsi="Verdana"/>
        </w:rPr>
      </w:pPr>
      <w:r>
        <w:rPr>
          <w:rFonts w:ascii="Verdana" w:hAnsi="Verdana"/>
        </w:rPr>
        <w:t>PROPONENTE:</w:t>
      </w:r>
    </w:p>
    <w:tbl>
      <w:tblPr>
        <w:tblW w:w="88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560"/>
        <w:gridCol w:w="1590"/>
        <w:gridCol w:w="1575"/>
        <w:gridCol w:w="1820"/>
      </w:tblGrid>
      <w:tr w:rsidR="003D35DD" w:rsidRPr="003D35DD" w14:paraId="47927CD5" w14:textId="77777777" w:rsidTr="486F728F">
        <w:trPr>
          <w:cantSplit/>
          <w:trHeight w:val="1620"/>
        </w:trPr>
        <w:tc>
          <w:tcPr>
            <w:tcW w:w="2340" w:type="dxa"/>
            <w:tcBorders>
              <w:bottom w:val="single" w:sz="12" w:space="0" w:color="000000" w:themeColor="text1"/>
            </w:tcBorders>
            <w:vAlign w:val="center"/>
          </w:tcPr>
          <w:p w14:paraId="10418225" w14:textId="77777777" w:rsidR="003D35DD" w:rsidRPr="003D35DD" w:rsidRDefault="003D35DD" w:rsidP="00506124">
            <w:pPr>
              <w:spacing w:line="240" w:lineRule="auto"/>
              <w:rPr>
                <w:rFonts w:ascii="Verdana" w:hAnsi="Verdana" w:cstheme="minorHAnsi"/>
                <w:b/>
                <w:spacing w:val="-2"/>
                <w:lang w:val="es-ES_tradnl"/>
              </w:rPr>
            </w:pPr>
            <w:r w:rsidRPr="003D35DD">
              <w:rPr>
                <w:rFonts w:ascii="Verdana" w:hAnsi="Verdana" w:cstheme="minorHAnsi"/>
                <w:spacing w:val="-2"/>
                <w:lang w:val="es-ES_tradnl"/>
              </w:rPr>
              <w:t>Información financiera en equivalente de guaraníes</w:t>
            </w:r>
          </w:p>
        </w:tc>
        <w:tc>
          <w:tcPr>
            <w:tcW w:w="6545" w:type="dxa"/>
            <w:gridSpan w:val="4"/>
            <w:vAlign w:val="center"/>
          </w:tcPr>
          <w:p w14:paraId="3C2A8DE6" w14:textId="49168893" w:rsidR="003D35DD" w:rsidRPr="003D35DD" w:rsidRDefault="003D35DD" w:rsidP="00506124">
            <w:pPr>
              <w:spacing w:line="240" w:lineRule="auto"/>
              <w:rPr>
                <w:rFonts w:ascii="Verdana" w:hAnsi="Verdana"/>
                <w:spacing w:val="-2"/>
                <w:lang w:val="es-ES"/>
              </w:rPr>
            </w:pPr>
            <w:r w:rsidRPr="6E3E3D47">
              <w:rPr>
                <w:rFonts w:ascii="Verdana" w:hAnsi="Verdana"/>
                <w:spacing w:val="-2"/>
                <w:lang w:val="es-ES"/>
              </w:rPr>
              <w:t xml:space="preserve">Información histórica correspondiente a los </w:t>
            </w:r>
            <w:r w:rsidR="007A61E4">
              <w:rPr>
                <w:rFonts w:ascii="Verdana" w:hAnsi="Verdana"/>
                <w:spacing w:val="-2"/>
                <w:lang w:val="es-ES"/>
              </w:rPr>
              <w:t>3</w:t>
            </w:r>
            <w:r w:rsidRPr="6E3E3D47">
              <w:rPr>
                <w:rFonts w:ascii="Verdana" w:hAnsi="Verdana"/>
                <w:spacing w:val="-2"/>
                <w:lang w:val="es-ES"/>
              </w:rPr>
              <w:t xml:space="preserve"> (</w:t>
            </w:r>
            <w:r w:rsidR="002B6C67">
              <w:rPr>
                <w:rFonts w:ascii="Verdana" w:hAnsi="Verdana"/>
                <w:spacing w:val="-2"/>
                <w:lang w:val="es-ES"/>
              </w:rPr>
              <w:t>tres</w:t>
            </w:r>
            <w:r w:rsidRPr="6E3E3D47">
              <w:rPr>
                <w:rFonts w:ascii="Verdana" w:hAnsi="Verdana"/>
                <w:spacing w:val="-2"/>
                <w:lang w:val="es-ES"/>
              </w:rPr>
              <w:t>) años anteriores, verificable con el Balance General y los Estados de Resultados (Equivalente en miles de guaraníes)</w:t>
            </w:r>
          </w:p>
        </w:tc>
      </w:tr>
      <w:tr w:rsidR="003D35DD" w:rsidRPr="003D35DD" w14:paraId="4BED90D9" w14:textId="77777777" w:rsidTr="486F728F">
        <w:trPr>
          <w:cantSplit/>
          <w:trHeight w:val="540"/>
        </w:trPr>
        <w:tc>
          <w:tcPr>
            <w:tcW w:w="2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9CBCDC5" w14:textId="58B4CAE7" w:rsidR="003D35DD" w:rsidRPr="003D35DD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Datos de Balances y Estados de Resultados</w:t>
            </w:r>
          </w:p>
        </w:tc>
        <w:tc>
          <w:tcPr>
            <w:tcW w:w="1560" w:type="dxa"/>
            <w:tcBorders>
              <w:left w:val="single" w:sz="12" w:space="0" w:color="000000" w:themeColor="text1"/>
            </w:tcBorders>
          </w:tcPr>
          <w:p w14:paraId="7AA1E8F6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  <w:r w:rsidRPr="003D35DD">
              <w:rPr>
                <w:rFonts w:ascii="Verdana" w:hAnsi="Verdana" w:cstheme="minorHAnsi"/>
                <w:b/>
              </w:rPr>
              <w:t>Año 1</w:t>
            </w:r>
          </w:p>
        </w:tc>
        <w:tc>
          <w:tcPr>
            <w:tcW w:w="1590" w:type="dxa"/>
          </w:tcPr>
          <w:p w14:paraId="307322E0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  <w:r w:rsidRPr="003D35DD">
              <w:rPr>
                <w:rFonts w:ascii="Verdana" w:hAnsi="Verdana" w:cstheme="minorHAnsi"/>
                <w:b/>
              </w:rPr>
              <w:t>Año 2</w:t>
            </w:r>
          </w:p>
        </w:tc>
        <w:tc>
          <w:tcPr>
            <w:tcW w:w="1575" w:type="dxa"/>
          </w:tcPr>
          <w:p w14:paraId="4C0DA871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  <w:r w:rsidRPr="003D35DD">
              <w:rPr>
                <w:rFonts w:ascii="Verdana" w:hAnsi="Verdana" w:cstheme="minorHAnsi"/>
                <w:b/>
              </w:rPr>
              <w:t>Año 3</w:t>
            </w:r>
          </w:p>
        </w:tc>
        <w:tc>
          <w:tcPr>
            <w:tcW w:w="1820" w:type="dxa"/>
          </w:tcPr>
          <w:p w14:paraId="4261BFD0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  <w:r w:rsidRPr="003D35DD">
              <w:rPr>
                <w:rFonts w:ascii="Verdana" w:hAnsi="Verdana" w:cstheme="minorHAnsi"/>
                <w:b/>
              </w:rPr>
              <w:t>Promedio</w:t>
            </w:r>
          </w:p>
        </w:tc>
      </w:tr>
      <w:tr w:rsidR="003D35DD" w:rsidRPr="003D35DD" w14:paraId="51DE1AB8" w14:textId="77777777" w:rsidTr="486F728F">
        <w:trPr>
          <w:cantSplit/>
          <w:trHeight w:val="735"/>
        </w:trPr>
        <w:tc>
          <w:tcPr>
            <w:tcW w:w="2340" w:type="dxa"/>
            <w:tcBorders>
              <w:top w:val="single" w:sz="12" w:space="0" w:color="000000" w:themeColor="text1"/>
            </w:tcBorders>
          </w:tcPr>
          <w:p w14:paraId="0EE081A7" w14:textId="700DDE0F" w:rsidR="003D35DD" w:rsidRPr="003D35DD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Activo Corriente</w:t>
            </w:r>
          </w:p>
        </w:tc>
        <w:tc>
          <w:tcPr>
            <w:tcW w:w="1560" w:type="dxa"/>
          </w:tcPr>
          <w:p w14:paraId="55DA91F9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90" w:type="dxa"/>
          </w:tcPr>
          <w:p w14:paraId="3D1EE10A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75" w:type="dxa"/>
          </w:tcPr>
          <w:p w14:paraId="64ABFF78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820" w:type="dxa"/>
          </w:tcPr>
          <w:p w14:paraId="7C4F05B6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</w:tr>
      <w:tr w:rsidR="003D35DD" w:rsidRPr="003D35DD" w14:paraId="2DD2078A" w14:textId="77777777" w:rsidTr="486F728F">
        <w:trPr>
          <w:cantSplit/>
          <w:trHeight w:val="705"/>
        </w:trPr>
        <w:tc>
          <w:tcPr>
            <w:tcW w:w="2340" w:type="dxa"/>
          </w:tcPr>
          <w:p w14:paraId="50B3DCCF" w14:textId="6C3CA019" w:rsidR="003D35DD" w:rsidRPr="003D35DD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Pasivo Corriente</w:t>
            </w:r>
          </w:p>
        </w:tc>
        <w:tc>
          <w:tcPr>
            <w:tcW w:w="1560" w:type="dxa"/>
          </w:tcPr>
          <w:p w14:paraId="1F2AD47B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90" w:type="dxa"/>
          </w:tcPr>
          <w:p w14:paraId="49264002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75" w:type="dxa"/>
          </w:tcPr>
          <w:p w14:paraId="5B7277F3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820" w:type="dxa"/>
          </w:tcPr>
          <w:p w14:paraId="52363379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</w:tr>
      <w:tr w:rsidR="003D35DD" w:rsidRPr="003D35DD" w14:paraId="0B696192" w14:textId="77777777" w:rsidTr="486F728F">
        <w:trPr>
          <w:cantSplit/>
          <w:trHeight w:val="660"/>
        </w:trPr>
        <w:tc>
          <w:tcPr>
            <w:tcW w:w="2340" w:type="dxa"/>
          </w:tcPr>
          <w:p w14:paraId="0F86DE1E" w14:textId="05845530" w:rsidR="09816053" w:rsidRDefault="09816053" w:rsidP="09816053">
            <w:pPr>
              <w:spacing w:line="276" w:lineRule="auto"/>
              <w:rPr>
                <w:rFonts w:ascii="Verdana" w:eastAsia="Verdana" w:hAnsi="Verdana" w:cs="Verdana"/>
              </w:rPr>
            </w:pPr>
            <w:r w:rsidRPr="09816053">
              <w:rPr>
                <w:rFonts w:ascii="Verdana" w:eastAsia="Verdana" w:hAnsi="Verdana" w:cs="Verdana"/>
                <w:b/>
                <w:bCs/>
              </w:rPr>
              <w:t>Activo Total</w:t>
            </w:r>
          </w:p>
        </w:tc>
        <w:tc>
          <w:tcPr>
            <w:tcW w:w="1560" w:type="dxa"/>
          </w:tcPr>
          <w:p w14:paraId="2FAE0C76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90" w:type="dxa"/>
          </w:tcPr>
          <w:p w14:paraId="4320DEB6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75" w:type="dxa"/>
          </w:tcPr>
          <w:p w14:paraId="5F0CCFC5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820" w:type="dxa"/>
          </w:tcPr>
          <w:p w14:paraId="01108BF4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</w:tr>
      <w:tr w:rsidR="003D35DD" w:rsidRPr="003D35DD" w14:paraId="06CAFCC7" w14:textId="77777777" w:rsidTr="486F728F">
        <w:trPr>
          <w:cantSplit/>
          <w:trHeight w:val="705"/>
        </w:trPr>
        <w:tc>
          <w:tcPr>
            <w:tcW w:w="2340" w:type="dxa"/>
          </w:tcPr>
          <w:p w14:paraId="4C01CA74" w14:textId="39F4400B" w:rsidR="09816053" w:rsidRDefault="09816053" w:rsidP="09816053">
            <w:pPr>
              <w:spacing w:line="276" w:lineRule="auto"/>
              <w:rPr>
                <w:rFonts w:ascii="Verdana" w:eastAsia="Verdana" w:hAnsi="Verdana" w:cs="Verdana"/>
              </w:rPr>
            </w:pPr>
            <w:r w:rsidRPr="09816053">
              <w:rPr>
                <w:rFonts w:ascii="Verdana" w:eastAsia="Verdana" w:hAnsi="Verdana" w:cs="Verdana"/>
                <w:b/>
                <w:bCs/>
              </w:rPr>
              <w:t>Pasivo Total</w:t>
            </w:r>
          </w:p>
        </w:tc>
        <w:tc>
          <w:tcPr>
            <w:tcW w:w="1560" w:type="dxa"/>
          </w:tcPr>
          <w:p w14:paraId="39560E63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90" w:type="dxa"/>
          </w:tcPr>
          <w:p w14:paraId="3572B013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75" w:type="dxa"/>
          </w:tcPr>
          <w:p w14:paraId="0BD9A704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820" w:type="dxa"/>
          </w:tcPr>
          <w:p w14:paraId="5F29B4DE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</w:tr>
      <w:tr w:rsidR="003D35DD" w:rsidRPr="003D35DD" w14:paraId="58B25FE9" w14:textId="77777777" w:rsidTr="486F728F">
        <w:trPr>
          <w:cantSplit/>
          <w:trHeight w:val="990"/>
        </w:trPr>
        <w:tc>
          <w:tcPr>
            <w:tcW w:w="2340" w:type="dxa"/>
          </w:tcPr>
          <w:p w14:paraId="3450149E" w14:textId="1CF9C4E3" w:rsidR="003D35DD" w:rsidRPr="003D35DD" w:rsidRDefault="09816053" w:rsidP="09816053">
            <w:pPr>
              <w:spacing w:line="276" w:lineRule="auto"/>
            </w:pPr>
            <w:r w:rsidRPr="09816053">
              <w:rPr>
                <w:rFonts w:ascii="Verdana" w:hAnsi="Verdana"/>
                <w:b/>
                <w:bCs/>
              </w:rPr>
              <w:t>Utilidad después de Impuestos</w:t>
            </w:r>
          </w:p>
        </w:tc>
        <w:tc>
          <w:tcPr>
            <w:tcW w:w="1560" w:type="dxa"/>
          </w:tcPr>
          <w:p w14:paraId="7F33BF52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90" w:type="dxa"/>
          </w:tcPr>
          <w:p w14:paraId="7F3FA964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75" w:type="dxa"/>
          </w:tcPr>
          <w:p w14:paraId="4852643A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820" w:type="dxa"/>
          </w:tcPr>
          <w:p w14:paraId="44151472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</w:tr>
      <w:tr w:rsidR="003D35DD" w:rsidRPr="003D35DD" w14:paraId="4A1716D2" w14:textId="77777777" w:rsidTr="486F728F">
        <w:trPr>
          <w:cantSplit/>
          <w:trHeight w:val="630"/>
        </w:trPr>
        <w:tc>
          <w:tcPr>
            <w:tcW w:w="2340" w:type="dxa"/>
          </w:tcPr>
          <w:p w14:paraId="42D77708" w14:textId="22AEF57D" w:rsidR="00877E1C" w:rsidRDefault="486F728F" w:rsidP="486F728F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486F728F">
              <w:rPr>
                <w:rFonts w:ascii="Verdana" w:hAnsi="Verdana"/>
                <w:b/>
                <w:bCs/>
              </w:rPr>
              <w:t>Capital</w:t>
            </w:r>
          </w:p>
        </w:tc>
        <w:tc>
          <w:tcPr>
            <w:tcW w:w="1560" w:type="dxa"/>
          </w:tcPr>
          <w:p w14:paraId="69BFA102" w14:textId="038236D5" w:rsidR="09816053" w:rsidRDefault="09816053" w:rsidP="0981605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90" w:type="dxa"/>
          </w:tcPr>
          <w:p w14:paraId="0AA9272F" w14:textId="090E7BC3" w:rsidR="09816053" w:rsidRDefault="09816053" w:rsidP="0981605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75" w:type="dxa"/>
          </w:tcPr>
          <w:p w14:paraId="17948052" w14:textId="4CC8772B" w:rsidR="09816053" w:rsidRDefault="09816053" w:rsidP="09816053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20" w:type="dxa"/>
          </w:tcPr>
          <w:p w14:paraId="776CDD85" w14:textId="153A9664" w:rsidR="09816053" w:rsidRDefault="09816053" w:rsidP="09816053">
            <w:pPr>
              <w:rPr>
                <w:rFonts w:ascii="Verdana" w:hAnsi="Verdana"/>
                <w:b/>
                <w:bCs/>
              </w:rPr>
            </w:pPr>
          </w:p>
        </w:tc>
      </w:tr>
      <w:tr w:rsidR="003D35DD" w:rsidRPr="003D35DD" w14:paraId="1BCD6E15" w14:textId="77777777" w:rsidTr="486F728F">
        <w:trPr>
          <w:cantSplit/>
          <w:trHeight w:val="555"/>
        </w:trPr>
        <w:tc>
          <w:tcPr>
            <w:tcW w:w="2340" w:type="dxa"/>
          </w:tcPr>
          <w:p w14:paraId="72D3427D" w14:textId="20E1CFF9" w:rsidR="003D35DD" w:rsidRPr="003D35DD" w:rsidRDefault="09816053" w:rsidP="09816053">
            <w:pPr>
              <w:spacing w:line="276" w:lineRule="auto"/>
              <w:rPr>
                <w:rFonts w:ascii="Verdana" w:hAnsi="Verdana"/>
                <w:b/>
                <w:bCs/>
                <w:lang w:val="pt-BR"/>
              </w:rPr>
            </w:pPr>
            <w:r w:rsidRPr="09816053">
              <w:rPr>
                <w:rFonts w:ascii="Verdana" w:hAnsi="Verdana"/>
                <w:b/>
                <w:bCs/>
                <w:lang w:val="pt-BR"/>
              </w:rPr>
              <w:t>Patrimonio Neto</w:t>
            </w:r>
          </w:p>
        </w:tc>
        <w:tc>
          <w:tcPr>
            <w:tcW w:w="1560" w:type="dxa"/>
          </w:tcPr>
          <w:p w14:paraId="2DAAAB33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  <w:lang w:val="pt-BR"/>
              </w:rPr>
            </w:pPr>
          </w:p>
        </w:tc>
        <w:tc>
          <w:tcPr>
            <w:tcW w:w="1590" w:type="dxa"/>
          </w:tcPr>
          <w:p w14:paraId="07768BB0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  <w:lang w:val="pt-BR"/>
              </w:rPr>
            </w:pPr>
          </w:p>
        </w:tc>
        <w:tc>
          <w:tcPr>
            <w:tcW w:w="1575" w:type="dxa"/>
          </w:tcPr>
          <w:p w14:paraId="69D98F57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  <w:lang w:val="pt-BR"/>
              </w:rPr>
            </w:pPr>
          </w:p>
        </w:tc>
        <w:tc>
          <w:tcPr>
            <w:tcW w:w="1820" w:type="dxa"/>
          </w:tcPr>
          <w:p w14:paraId="7FF50F5A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  <w:lang w:val="pt-BR"/>
              </w:rPr>
            </w:pPr>
          </w:p>
        </w:tc>
      </w:tr>
      <w:tr w:rsidR="003D35DD" w:rsidRPr="003D35DD" w14:paraId="6948C04E" w14:textId="77777777" w:rsidTr="486F728F">
        <w:trPr>
          <w:cantSplit/>
          <w:trHeight w:val="705"/>
        </w:trPr>
        <w:tc>
          <w:tcPr>
            <w:tcW w:w="2340" w:type="dxa"/>
          </w:tcPr>
          <w:p w14:paraId="3304E7FB" w14:textId="1F08172E" w:rsidR="003D35DD" w:rsidRPr="003D35DD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Ingresos Totales</w:t>
            </w:r>
          </w:p>
        </w:tc>
        <w:tc>
          <w:tcPr>
            <w:tcW w:w="1560" w:type="dxa"/>
          </w:tcPr>
          <w:p w14:paraId="5E44658B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90" w:type="dxa"/>
          </w:tcPr>
          <w:p w14:paraId="00F86BC7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575" w:type="dxa"/>
          </w:tcPr>
          <w:p w14:paraId="554B6272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  <w:tc>
          <w:tcPr>
            <w:tcW w:w="1820" w:type="dxa"/>
          </w:tcPr>
          <w:p w14:paraId="4D393160" w14:textId="77777777" w:rsidR="003D35DD" w:rsidRPr="003D35DD" w:rsidRDefault="003D35DD">
            <w:pPr>
              <w:spacing w:line="276" w:lineRule="auto"/>
              <w:rPr>
                <w:rFonts w:ascii="Verdana" w:hAnsi="Verdana" w:cstheme="minorHAnsi"/>
                <w:b/>
              </w:rPr>
            </w:pPr>
          </w:p>
        </w:tc>
      </w:tr>
      <w:tr w:rsidR="09816053" w14:paraId="651279D1" w14:textId="77777777" w:rsidTr="486F728F">
        <w:trPr>
          <w:cantSplit/>
          <w:trHeight w:val="705"/>
        </w:trPr>
        <w:tc>
          <w:tcPr>
            <w:tcW w:w="2340" w:type="dxa"/>
          </w:tcPr>
          <w:p w14:paraId="520DA5A4" w14:textId="3C438EE1" w:rsidR="09816053" w:rsidRDefault="09816053" w:rsidP="09816053">
            <w:pPr>
              <w:spacing w:line="276" w:lineRule="auto"/>
            </w:pPr>
            <w:r w:rsidRPr="09816053">
              <w:rPr>
                <w:rFonts w:ascii="Verdana" w:hAnsi="Verdana"/>
                <w:b/>
                <w:bCs/>
              </w:rPr>
              <w:t>Ratios Financieros</w:t>
            </w:r>
          </w:p>
        </w:tc>
        <w:tc>
          <w:tcPr>
            <w:tcW w:w="1560" w:type="dxa"/>
          </w:tcPr>
          <w:p w14:paraId="76FDD1F9" w14:textId="77777777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Año 1</w:t>
            </w:r>
          </w:p>
        </w:tc>
        <w:tc>
          <w:tcPr>
            <w:tcW w:w="1590" w:type="dxa"/>
          </w:tcPr>
          <w:p w14:paraId="01A81EAF" w14:textId="77777777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Año 2</w:t>
            </w:r>
          </w:p>
        </w:tc>
        <w:tc>
          <w:tcPr>
            <w:tcW w:w="1575" w:type="dxa"/>
          </w:tcPr>
          <w:p w14:paraId="104077FD" w14:textId="77777777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Año 3</w:t>
            </w:r>
          </w:p>
        </w:tc>
        <w:tc>
          <w:tcPr>
            <w:tcW w:w="1820" w:type="dxa"/>
          </w:tcPr>
          <w:p w14:paraId="170DB775" w14:textId="77777777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Promedio</w:t>
            </w:r>
          </w:p>
        </w:tc>
      </w:tr>
      <w:tr w:rsidR="09816053" w14:paraId="02F6C4FD" w14:textId="77777777" w:rsidTr="486F728F">
        <w:trPr>
          <w:cantSplit/>
          <w:trHeight w:val="705"/>
        </w:trPr>
        <w:tc>
          <w:tcPr>
            <w:tcW w:w="2340" w:type="dxa"/>
          </w:tcPr>
          <w:p w14:paraId="497E754B" w14:textId="7D60AED1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Coeficiente de Liquidez</w:t>
            </w:r>
          </w:p>
        </w:tc>
        <w:tc>
          <w:tcPr>
            <w:tcW w:w="1560" w:type="dxa"/>
          </w:tcPr>
          <w:p w14:paraId="127DEE20" w14:textId="0A751A03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90" w:type="dxa"/>
          </w:tcPr>
          <w:p w14:paraId="73C188C6" w14:textId="27C68C3C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75" w:type="dxa"/>
          </w:tcPr>
          <w:p w14:paraId="638D9FBA" w14:textId="0DE2A03D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820" w:type="dxa"/>
          </w:tcPr>
          <w:p w14:paraId="1B10671A" w14:textId="14E901C0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</w:tr>
      <w:tr w:rsidR="09816053" w14:paraId="221CA22E" w14:textId="77777777" w:rsidTr="486F728F">
        <w:trPr>
          <w:cantSplit/>
          <w:trHeight w:val="705"/>
        </w:trPr>
        <w:tc>
          <w:tcPr>
            <w:tcW w:w="2340" w:type="dxa"/>
          </w:tcPr>
          <w:p w14:paraId="0708B5ED" w14:textId="6B39E0F5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lastRenderedPageBreak/>
              <w:t>Coeficiente de Solvencia</w:t>
            </w:r>
          </w:p>
        </w:tc>
        <w:tc>
          <w:tcPr>
            <w:tcW w:w="1560" w:type="dxa"/>
          </w:tcPr>
          <w:p w14:paraId="3397CB34" w14:textId="0456819B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90" w:type="dxa"/>
          </w:tcPr>
          <w:p w14:paraId="6F1BA20A" w14:textId="025F3F1B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75" w:type="dxa"/>
          </w:tcPr>
          <w:p w14:paraId="7DF41318" w14:textId="68F6F345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820" w:type="dxa"/>
          </w:tcPr>
          <w:p w14:paraId="0FF1648F" w14:textId="73B7C04F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</w:tr>
      <w:tr w:rsidR="09816053" w14:paraId="3BB29430" w14:textId="77777777" w:rsidTr="486F728F">
        <w:trPr>
          <w:cantSplit/>
          <w:trHeight w:val="705"/>
        </w:trPr>
        <w:tc>
          <w:tcPr>
            <w:tcW w:w="2340" w:type="dxa"/>
          </w:tcPr>
          <w:p w14:paraId="254554FB" w14:textId="234C1F3D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Rentabilidad sobre Capital</w:t>
            </w:r>
          </w:p>
        </w:tc>
        <w:tc>
          <w:tcPr>
            <w:tcW w:w="1560" w:type="dxa"/>
          </w:tcPr>
          <w:p w14:paraId="41FEC53E" w14:textId="44FABD10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90" w:type="dxa"/>
          </w:tcPr>
          <w:p w14:paraId="65E6B12C" w14:textId="5ABF3698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75" w:type="dxa"/>
          </w:tcPr>
          <w:p w14:paraId="2FBB7889" w14:textId="07B4E5E2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820" w:type="dxa"/>
          </w:tcPr>
          <w:p w14:paraId="44922EB9" w14:textId="5CC05B62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</w:tr>
      <w:tr w:rsidR="09816053" w14:paraId="74BCE993" w14:textId="77777777" w:rsidTr="486F728F">
        <w:trPr>
          <w:cantSplit/>
          <w:trHeight w:val="705"/>
        </w:trPr>
        <w:tc>
          <w:tcPr>
            <w:tcW w:w="2340" w:type="dxa"/>
          </w:tcPr>
          <w:p w14:paraId="77254B71" w14:textId="4BBBAC94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Coeficiente de Endeudamiento</w:t>
            </w:r>
          </w:p>
        </w:tc>
        <w:tc>
          <w:tcPr>
            <w:tcW w:w="1560" w:type="dxa"/>
          </w:tcPr>
          <w:p w14:paraId="6A9A3A83" w14:textId="56678E3B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90" w:type="dxa"/>
          </w:tcPr>
          <w:p w14:paraId="674014D3" w14:textId="596F83DC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75" w:type="dxa"/>
          </w:tcPr>
          <w:p w14:paraId="62A13D86" w14:textId="1A7B446C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820" w:type="dxa"/>
          </w:tcPr>
          <w:p w14:paraId="1FEE1F34" w14:textId="2DE52DA1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</w:tr>
      <w:tr w:rsidR="09816053" w14:paraId="7EECFCF3" w14:textId="77777777" w:rsidTr="486F728F">
        <w:trPr>
          <w:cantSplit/>
          <w:trHeight w:val="705"/>
        </w:trPr>
        <w:tc>
          <w:tcPr>
            <w:tcW w:w="2340" w:type="dxa"/>
          </w:tcPr>
          <w:p w14:paraId="2EEB2991" w14:textId="23D4511A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  <w:r w:rsidRPr="09816053">
              <w:rPr>
                <w:rFonts w:ascii="Verdana" w:hAnsi="Verdana"/>
                <w:b/>
                <w:bCs/>
              </w:rPr>
              <w:t>Margen de Utilidad Neta</w:t>
            </w:r>
          </w:p>
        </w:tc>
        <w:tc>
          <w:tcPr>
            <w:tcW w:w="1560" w:type="dxa"/>
          </w:tcPr>
          <w:p w14:paraId="58F745B3" w14:textId="5A003866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90" w:type="dxa"/>
          </w:tcPr>
          <w:p w14:paraId="6DAEB5B1" w14:textId="77ABFD1B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575" w:type="dxa"/>
          </w:tcPr>
          <w:p w14:paraId="45BAA1C9" w14:textId="39CB3DBF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  <w:tc>
          <w:tcPr>
            <w:tcW w:w="1820" w:type="dxa"/>
          </w:tcPr>
          <w:p w14:paraId="4AD9911C" w14:textId="055EB028" w:rsidR="09816053" w:rsidRDefault="09816053" w:rsidP="09816053">
            <w:pPr>
              <w:spacing w:line="276" w:lineRule="auto"/>
              <w:rPr>
                <w:rFonts w:ascii="Verdana" w:hAnsi="Verdana"/>
                <w:b/>
                <w:bCs/>
              </w:rPr>
            </w:pPr>
          </w:p>
        </w:tc>
      </w:tr>
    </w:tbl>
    <w:p w14:paraId="14B34CA9" w14:textId="77777777" w:rsidR="003D35DD" w:rsidRDefault="003D35DD" w:rsidP="003D35DD">
      <w:pPr>
        <w:jc w:val="both"/>
        <w:rPr>
          <w:rFonts w:ascii="Verdana" w:hAnsi="Verdana"/>
        </w:rPr>
      </w:pPr>
    </w:p>
    <w:p w14:paraId="6536B34C" w14:textId="5B3687BF" w:rsidR="003D35DD" w:rsidRPr="003D35DD" w:rsidRDefault="1F13590E" w:rsidP="003D35DD">
      <w:pPr>
        <w:jc w:val="both"/>
        <w:rPr>
          <w:rFonts w:ascii="Verdana" w:hAnsi="Verdana"/>
        </w:rPr>
      </w:pPr>
      <w:r w:rsidRPr="1F13590E">
        <w:rPr>
          <w:rFonts w:ascii="Verdana" w:hAnsi="Verdana"/>
        </w:rPr>
        <w:t>Para la validación y verificación de los valores, se deberá adjuntar copias de los balances generales y los estados de resultados correspondientes a los ejercicios arriba requeridos, los cuales cumplen con las siguientes condiciones:</w:t>
      </w:r>
    </w:p>
    <w:p w14:paraId="5BBF3EFB" w14:textId="5055F36C" w:rsidR="000513AC" w:rsidRDefault="1F13590E" w:rsidP="003D35DD">
      <w:pPr>
        <w:jc w:val="both"/>
        <w:rPr>
          <w:rFonts w:ascii="Verdana" w:hAnsi="Verdana"/>
        </w:rPr>
      </w:pPr>
      <w:r w:rsidRPr="1F13590E">
        <w:rPr>
          <w:rFonts w:ascii="Verdana" w:hAnsi="Verdana"/>
        </w:rPr>
        <w:t xml:space="preserve">Deben reflejar la situación financiera del proponente, sean personas jurídicas o consorcios. En caso de consorcio, todas las empresas integrantes deberán presentar su documentación. </w:t>
      </w:r>
    </w:p>
    <w:p w14:paraId="78608467" w14:textId="61ECFD53" w:rsidR="003D35DD" w:rsidRPr="003D35DD" w:rsidRDefault="09816053" w:rsidP="003D35DD">
      <w:pPr>
        <w:jc w:val="both"/>
        <w:rPr>
          <w:rFonts w:ascii="Verdana" w:hAnsi="Verdana"/>
        </w:rPr>
      </w:pPr>
      <w:r w:rsidRPr="09816053">
        <w:rPr>
          <w:rFonts w:ascii="Verdana" w:hAnsi="Verdana"/>
        </w:rPr>
        <w:t>Los balances generales y los estados de resultados deben estar firmados por un contador público matriculado;</w:t>
      </w:r>
    </w:p>
    <w:p w14:paraId="29C46EB6" w14:textId="57409159" w:rsidR="003D35DD" w:rsidRPr="003D35DD" w:rsidRDefault="09816053" w:rsidP="003D35DD">
      <w:pPr>
        <w:jc w:val="both"/>
        <w:rPr>
          <w:rFonts w:ascii="Verdana" w:hAnsi="Verdana"/>
        </w:rPr>
      </w:pPr>
      <w:r w:rsidRPr="09816053">
        <w:rPr>
          <w:rFonts w:ascii="Verdana" w:hAnsi="Verdana"/>
        </w:rPr>
        <w:t>Los balances generales y los estados de resultados deben estar completos, incluidas todas las notas a los estados financieros;</w:t>
      </w:r>
    </w:p>
    <w:p w14:paraId="786BB78D" w14:textId="2DDCBCEA" w:rsidR="003D35DD" w:rsidRPr="003D35DD" w:rsidRDefault="09816053" w:rsidP="003D35DD">
      <w:pPr>
        <w:jc w:val="both"/>
        <w:rPr>
          <w:rFonts w:ascii="Verdana" w:hAnsi="Verdana"/>
        </w:rPr>
      </w:pPr>
      <w:r w:rsidRPr="09816053">
        <w:rPr>
          <w:rFonts w:ascii="Verdana" w:hAnsi="Verdana"/>
        </w:rPr>
        <w:t>Los balances generales y los estados de resultados deben corresponder a períodos contables ya completados (no se solicitarán ni aceptarán estados financieros de períodos parciales).</w:t>
      </w:r>
    </w:p>
    <w:p w14:paraId="0ABBA3E4" w14:textId="77777777" w:rsidR="003D35DD" w:rsidRDefault="003D35DD"/>
    <w:p w14:paraId="4F49C924" w14:textId="7ED50B9E" w:rsidR="2325DB6E" w:rsidRDefault="2325DB6E" w:rsidP="2325DB6E">
      <w:pPr>
        <w:spacing w:line="278" w:lineRule="auto"/>
        <w:jc w:val="both"/>
        <w:rPr>
          <w:rFonts w:ascii="Verdana" w:eastAsia="Verdana" w:hAnsi="Verdana" w:cs="Verdana"/>
          <w:color w:val="000000" w:themeColor="text1"/>
        </w:rPr>
      </w:pPr>
      <w:r w:rsidRPr="2325DB6E">
        <w:rPr>
          <w:rFonts w:ascii="Verdana" w:eastAsia="Verdana" w:hAnsi="Verdana" w:cs="Verdana"/>
          <w:color w:val="000000" w:themeColor="text1"/>
          <w:lang w:val="es-419"/>
        </w:rPr>
        <w:t>Firma:</w:t>
      </w:r>
    </w:p>
    <w:p w14:paraId="4474B66B" w14:textId="04C25A0C" w:rsidR="2325DB6E" w:rsidRDefault="2325DB6E" w:rsidP="2325DB6E">
      <w:pPr>
        <w:spacing w:line="278" w:lineRule="auto"/>
        <w:jc w:val="both"/>
        <w:rPr>
          <w:rFonts w:ascii="Verdana" w:eastAsia="Verdana" w:hAnsi="Verdana" w:cs="Verdana"/>
          <w:color w:val="000000" w:themeColor="text1"/>
        </w:rPr>
      </w:pPr>
      <w:r w:rsidRPr="2325DB6E">
        <w:rPr>
          <w:rFonts w:ascii="Verdana" w:eastAsia="Verdana" w:hAnsi="Verdana" w:cs="Verdana"/>
          <w:color w:val="000000" w:themeColor="text1"/>
          <w:lang w:val="es-419"/>
        </w:rPr>
        <w:t>Nombre:</w:t>
      </w:r>
    </w:p>
    <w:p w14:paraId="4EE71169" w14:textId="00846E43" w:rsidR="2325DB6E" w:rsidRDefault="2325DB6E" w:rsidP="2325DB6E">
      <w:pPr>
        <w:spacing w:line="278" w:lineRule="auto"/>
        <w:jc w:val="both"/>
        <w:rPr>
          <w:rFonts w:ascii="Verdana" w:eastAsia="Verdana" w:hAnsi="Verdana" w:cs="Verdana"/>
          <w:color w:val="000000" w:themeColor="text1"/>
        </w:rPr>
      </w:pPr>
      <w:r w:rsidRPr="2325DB6E">
        <w:rPr>
          <w:rFonts w:ascii="Verdana" w:eastAsia="Verdana" w:hAnsi="Verdana" w:cs="Verdana"/>
          <w:color w:val="000000" w:themeColor="text1"/>
          <w:lang w:val="es-419"/>
        </w:rPr>
        <w:t>En calidad de</w:t>
      </w:r>
    </w:p>
    <w:p w14:paraId="56B2C4BF" w14:textId="08D4FC92" w:rsidR="2325DB6E" w:rsidRDefault="2325DB6E"/>
    <w:sectPr w:rsidR="2325DB6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5CD7A" w14:textId="77777777" w:rsidR="00B77B1C" w:rsidRDefault="00B77B1C" w:rsidP="003D35DD">
      <w:pPr>
        <w:spacing w:after="0" w:line="240" w:lineRule="auto"/>
      </w:pPr>
      <w:r>
        <w:separator/>
      </w:r>
    </w:p>
  </w:endnote>
  <w:endnote w:type="continuationSeparator" w:id="0">
    <w:p w14:paraId="12A934E7" w14:textId="77777777" w:rsidR="00B77B1C" w:rsidRDefault="00B77B1C" w:rsidP="003D35DD">
      <w:pPr>
        <w:spacing w:after="0" w:line="240" w:lineRule="auto"/>
      </w:pPr>
      <w:r>
        <w:continuationSeparator/>
      </w:r>
    </w:p>
  </w:endnote>
  <w:endnote w:type="continuationNotice" w:id="1">
    <w:p w14:paraId="6150A130" w14:textId="77777777" w:rsidR="00B77B1C" w:rsidRDefault="00B77B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26860" w14:textId="77777777" w:rsidR="00B77B1C" w:rsidRDefault="00B77B1C" w:rsidP="003D35DD">
      <w:pPr>
        <w:spacing w:after="0" w:line="240" w:lineRule="auto"/>
      </w:pPr>
      <w:r>
        <w:separator/>
      </w:r>
    </w:p>
  </w:footnote>
  <w:footnote w:type="continuationSeparator" w:id="0">
    <w:p w14:paraId="39B873F7" w14:textId="77777777" w:rsidR="00B77B1C" w:rsidRDefault="00B77B1C" w:rsidP="003D35DD">
      <w:pPr>
        <w:spacing w:after="0" w:line="240" w:lineRule="auto"/>
      </w:pPr>
      <w:r>
        <w:continuationSeparator/>
      </w:r>
    </w:p>
  </w:footnote>
  <w:footnote w:type="continuationNotice" w:id="1">
    <w:p w14:paraId="2BDBE856" w14:textId="77777777" w:rsidR="00B77B1C" w:rsidRDefault="00B77B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A970D" w14:textId="65C2F41F" w:rsidR="003D35DD" w:rsidRDefault="003D35DD">
    <w:pPr>
      <w:pStyle w:val="Encabezado"/>
    </w:pPr>
    <w:r>
      <w:rPr>
        <w:noProof/>
      </w:rPr>
      <w:drawing>
        <wp:inline distT="0" distB="0" distL="0" distR="0" wp14:anchorId="32082B2A" wp14:editId="273CE251">
          <wp:extent cx="5318760" cy="44196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876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ptos" w:hAnsi="Aptos"/>
        <w:color w:val="000000"/>
        <w:shd w:val="clear" w:color="auto" w:fill="FFFFFF"/>
        <w:lang w:val="en-GB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5DD"/>
    <w:rsid w:val="000012A8"/>
    <w:rsid w:val="00027801"/>
    <w:rsid w:val="000513AC"/>
    <w:rsid w:val="00081613"/>
    <w:rsid w:val="000946F6"/>
    <w:rsid w:val="000F3FFF"/>
    <w:rsid w:val="00246E45"/>
    <w:rsid w:val="002B6C67"/>
    <w:rsid w:val="00397D8C"/>
    <w:rsid w:val="003C11B0"/>
    <w:rsid w:val="003C4D11"/>
    <w:rsid w:val="003D35DD"/>
    <w:rsid w:val="00442539"/>
    <w:rsid w:val="00450337"/>
    <w:rsid w:val="00482DA0"/>
    <w:rsid w:val="00506124"/>
    <w:rsid w:val="00574193"/>
    <w:rsid w:val="006204B0"/>
    <w:rsid w:val="006617DD"/>
    <w:rsid w:val="006E0247"/>
    <w:rsid w:val="00764F7D"/>
    <w:rsid w:val="007A61E4"/>
    <w:rsid w:val="008167A7"/>
    <w:rsid w:val="00823084"/>
    <w:rsid w:val="00877E1C"/>
    <w:rsid w:val="008B3246"/>
    <w:rsid w:val="008C6D69"/>
    <w:rsid w:val="00977743"/>
    <w:rsid w:val="009E72C3"/>
    <w:rsid w:val="00A3F11E"/>
    <w:rsid w:val="00A456CC"/>
    <w:rsid w:val="00A61C0A"/>
    <w:rsid w:val="00B13D75"/>
    <w:rsid w:val="00B42AB7"/>
    <w:rsid w:val="00B77B1C"/>
    <w:rsid w:val="00BB3B79"/>
    <w:rsid w:val="00C5616C"/>
    <w:rsid w:val="00C8605B"/>
    <w:rsid w:val="00CA1E0C"/>
    <w:rsid w:val="00CB3441"/>
    <w:rsid w:val="00DB1148"/>
    <w:rsid w:val="00DB6B2E"/>
    <w:rsid w:val="00DD1AFE"/>
    <w:rsid w:val="00E10B53"/>
    <w:rsid w:val="00F013C9"/>
    <w:rsid w:val="00F52EB7"/>
    <w:rsid w:val="00FF53DA"/>
    <w:rsid w:val="09816053"/>
    <w:rsid w:val="1F13590E"/>
    <w:rsid w:val="2325DB6E"/>
    <w:rsid w:val="26966419"/>
    <w:rsid w:val="2C84E272"/>
    <w:rsid w:val="4169198F"/>
    <w:rsid w:val="486F728F"/>
    <w:rsid w:val="6E3E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5B62"/>
  <w15:chartTrackingRefBased/>
  <w15:docId w15:val="{00D69B7F-CE49-41F2-9CF4-7F095565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35DD"/>
  </w:style>
  <w:style w:type="paragraph" w:styleId="Piedepgina">
    <w:name w:val="footer"/>
    <w:basedOn w:val="Normal"/>
    <w:link w:val="PiedepginaCar"/>
    <w:uiPriority w:val="99"/>
    <w:unhideWhenUsed/>
    <w:rsid w:val="003D35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Renzo Cristaldo Garay</cp:lastModifiedBy>
  <cp:revision>2</cp:revision>
  <dcterms:created xsi:type="dcterms:W3CDTF">2025-05-22T20:00:00Z</dcterms:created>
  <dcterms:modified xsi:type="dcterms:W3CDTF">2025-05-22T20:00:00Z</dcterms:modified>
</cp:coreProperties>
</file>